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E1B5" w14:textId="761B9129" w:rsidR="008E5517" w:rsidRDefault="61C2CD96" w:rsidP="2797893B">
      <w:pPr>
        <w:rPr>
          <w:rFonts w:eastAsiaTheme="minorEastAsia"/>
          <w:color w:val="000000" w:themeColor="text1"/>
          <w:sz w:val="22"/>
          <w:szCs w:val="22"/>
        </w:rPr>
      </w:pPr>
      <w:r w:rsidRPr="2797893B">
        <w:rPr>
          <w:rFonts w:eastAsiaTheme="minorEastAsia"/>
          <w:color w:val="000000" w:themeColor="text1"/>
          <w:sz w:val="22"/>
          <w:szCs w:val="22"/>
        </w:rPr>
        <w:t>À l’attention d</w:t>
      </w:r>
      <w:r w:rsidR="00D45857">
        <w:rPr>
          <w:rFonts w:eastAsiaTheme="minorEastAsia"/>
          <w:color w:val="000000" w:themeColor="text1"/>
          <w:sz w:val="22"/>
          <w:szCs w:val="22"/>
        </w:rPr>
        <w:t>u directeur des ressources humaines,</w:t>
      </w:r>
    </w:p>
    <w:p w14:paraId="479ECD49" w14:textId="474D240C" w:rsidR="008E5517" w:rsidRDefault="61C2CD96" w:rsidP="00685D29">
      <w:pPr>
        <w:ind w:left="851" w:hanging="851"/>
        <w:rPr>
          <w:rFonts w:eastAsiaTheme="minorEastAsia"/>
          <w:color w:val="000000" w:themeColor="text1"/>
          <w:sz w:val="22"/>
          <w:szCs w:val="22"/>
        </w:rPr>
      </w:pPr>
      <w:r w:rsidRPr="2797893B">
        <w:rPr>
          <w:rFonts w:eastAsiaTheme="minorEastAsia"/>
          <w:b/>
          <w:bCs/>
          <w:color w:val="000000" w:themeColor="text1"/>
          <w:sz w:val="22"/>
          <w:szCs w:val="22"/>
        </w:rPr>
        <w:t xml:space="preserve">Objet : </w:t>
      </w:r>
      <w:r w:rsidR="00685D29">
        <w:rPr>
          <w:rFonts w:eastAsiaTheme="minorEastAsia"/>
          <w:b/>
          <w:bCs/>
          <w:color w:val="000000" w:themeColor="text1"/>
          <w:sz w:val="22"/>
          <w:szCs w:val="22"/>
        </w:rPr>
        <w:tab/>
      </w:r>
      <w:r w:rsidRPr="2797893B">
        <w:rPr>
          <w:rFonts w:eastAsiaTheme="minorEastAsia"/>
          <w:b/>
          <w:bCs/>
          <w:color w:val="000000" w:themeColor="text1"/>
          <w:sz w:val="22"/>
          <w:szCs w:val="22"/>
        </w:rPr>
        <w:t xml:space="preserve">Retards inacceptables dans le déploiement du Processus </w:t>
      </w:r>
      <w:r w:rsidR="00685D29">
        <w:rPr>
          <w:rFonts w:eastAsiaTheme="minorEastAsia"/>
          <w:b/>
          <w:bCs/>
          <w:color w:val="000000" w:themeColor="text1"/>
          <w:sz w:val="22"/>
          <w:szCs w:val="22"/>
        </w:rPr>
        <w:t>u</w:t>
      </w:r>
      <w:r w:rsidRPr="2797893B">
        <w:rPr>
          <w:rFonts w:eastAsiaTheme="minorEastAsia"/>
          <w:b/>
          <w:bCs/>
          <w:color w:val="000000" w:themeColor="text1"/>
          <w:sz w:val="22"/>
          <w:szCs w:val="22"/>
        </w:rPr>
        <w:t xml:space="preserve">nique de </w:t>
      </w:r>
      <w:r w:rsidR="00685D29">
        <w:rPr>
          <w:rFonts w:eastAsiaTheme="minorEastAsia"/>
          <w:b/>
          <w:bCs/>
          <w:color w:val="000000" w:themeColor="text1"/>
          <w:sz w:val="22"/>
          <w:szCs w:val="22"/>
        </w:rPr>
        <w:t>r</w:t>
      </w:r>
      <w:r w:rsidRPr="2797893B">
        <w:rPr>
          <w:rFonts w:eastAsiaTheme="minorEastAsia"/>
          <w:b/>
          <w:bCs/>
          <w:color w:val="000000" w:themeColor="text1"/>
          <w:sz w:val="22"/>
          <w:szCs w:val="22"/>
        </w:rPr>
        <w:t>econnaissance de l’</w:t>
      </w:r>
      <w:r w:rsidR="00685D29">
        <w:rPr>
          <w:rFonts w:eastAsiaTheme="minorEastAsia"/>
          <w:b/>
          <w:bCs/>
          <w:color w:val="000000" w:themeColor="text1"/>
          <w:sz w:val="22"/>
          <w:szCs w:val="22"/>
        </w:rPr>
        <w:t>a</w:t>
      </w:r>
      <w:r w:rsidRPr="2797893B">
        <w:rPr>
          <w:rFonts w:eastAsiaTheme="minorEastAsia"/>
          <w:b/>
          <w:bCs/>
          <w:color w:val="000000" w:themeColor="text1"/>
          <w:sz w:val="22"/>
          <w:szCs w:val="22"/>
        </w:rPr>
        <w:t>ncienneté (PURA) – Demande immédiate de correctifs</w:t>
      </w:r>
      <w:r w:rsidRPr="2797893B">
        <w:rPr>
          <w:rFonts w:eastAsiaTheme="minorEastAsia"/>
          <w:color w:val="000000" w:themeColor="text1"/>
          <w:sz w:val="22"/>
          <w:szCs w:val="22"/>
        </w:rPr>
        <w:t> </w:t>
      </w:r>
    </w:p>
    <w:p w14:paraId="2FA03A7A" w14:textId="1E255315" w:rsidR="008E5517" w:rsidRDefault="61C2CD96" w:rsidP="2797893B">
      <w:pPr>
        <w:jc w:val="both"/>
        <w:rPr>
          <w:rFonts w:eastAsiaTheme="minorEastAsia"/>
          <w:color w:val="000000" w:themeColor="text1"/>
          <w:sz w:val="22"/>
          <w:szCs w:val="22"/>
        </w:rPr>
      </w:pPr>
      <w:r w:rsidRPr="2797893B">
        <w:rPr>
          <w:rFonts w:eastAsiaTheme="minorEastAsia"/>
          <w:color w:val="000000" w:themeColor="text1"/>
          <w:sz w:val="22"/>
          <w:szCs w:val="22"/>
        </w:rPr>
        <w:t xml:space="preserve">Je, soussigné(e), professionnelle en soins et membre de la </w:t>
      </w:r>
      <w:r w:rsidR="001D3555">
        <w:rPr>
          <w:rFonts w:eastAsiaTheme="minorEastAsia"/>
          <w:color w:val="000000" w:themeColor="text1"/>
          <w:sz w:val="22"/>
          <w:szCs w:val="22"/>
        </w:rPr>
        <w:t>Fédération interprofessionnelle de la santé du Québec–F</w:t>
      </w:r>
      <w:r w:rsidRPr="2797893B">
        <w:rPr>
          <w:rFonts w:eastAsiaTheme="minorEastAsia"/>
          <w:color w:val="000000" w:themeColor="text1"/>
          <w:sz w:val="22"/>
          <w:szCs w:val="22"/>
        </w:rPr>
        <w:t>IQ, vous écris aujourd’hui pour dénoncer les retards inacceptables dans le déploiement du Processus unique de reconnaissance de l’ancienneté (PURA), prévu dans la lettre d’entente n</w:t>
      </w:r>
      <w:r w:rsidRPr="00A123A8">
        <w:rPr>
          <w:rFonts w:eastAsiaTheme="minorEastAsia"/>
          <w:color w:val="000000" w:themeColor="text1"/>
          <w:sz w:val="22"/>
          <w:szCs w:val="22"/>
          <w:vertAlign w:val="superscript"/>
        </w:rPr>
        <w:t>o</w:t>
      </w:r>
      <w:r w:rsidRPr="2797893B">
        <w:rPr>
          <w:rFonts w:eastAsiaTheme="minorEastAsia"/>
          <w:color w:val="000000" w:themeColor="text1"/>
          <w:sz w:val="22"/>
          <w:szCs w:val="22"/>
        </w:rPr>
        <w:t xml:space="preserve"> 32 de la convention collective intervenue entre le </w:t>
      </w:r>
      <w:r w:rsidR="00A123A8" w:rsidRPr="00A123A8">
        <w:rPr>
          <w:rFonts w:eastAsiaTheme="minorEastAsia"/>
          <w:color w:val="000000" w:themeColor="text1"/>
          <w:sz w:val="22"/>
          <w:szCs w:val="22"/>
        </w:rPr>
        <w:t>Comité patronal de négociation du secteur de la santé et des services sociaux</w:t>
      </w:r>
      <w:r w:rsidR="00A123A8">
        <w:rPr>
          <w:rFonts w:eastAsiaTheme="minorEastAsia"/>
          <w:color w:val="000000" w:themeColor="text1"/>
          <w:sz w:val="22"/>
          <w:szCs w:val="22"/>
        </w:rPr>
        <w:t xml:space="preserve"> (</w:t>
      </w:r>
      <w:r w:rsidRPr="2797893B">
        <w:rPr>
          <w:rFonts w:eastAsiaTheme="minorEastAsia"/>
          <w:color w:val="000000" w:themeColor="text1"/>
          <w:sz w:val="22"/>
          <w:szCs w:val="22"/>
        </w:rPr>
        <w:t>CPNSSS</w:t>
      </w:r>
      <w:r w:rsidR="00A123A8">
        <w:rPr>
          <w:rFonts w:eastAsiaTheme="minorEastAsia"/>
          <w:color w:val="000000" w:themeColor="text1"/>
          <w:sz w:val="22"/>
          <w:szCs w:val="22"/>
        </w:rPr>
        <w:t>)</w:t>
      </w:r>
      <w:r w:rsidRPr="2797893B">
        <w:rPr>
          <w:rFonts w:eastAsiaTheme="minorEastAsia"/>
          <w:color w:val="000000" w:themeColor="text1"/>
          <w:sz w:val="22"/>
          <w:szCs w:val="22"/>
        </w:rPr>
        <w:t xml:space="preserve"> et la</w:t>
      </w:r>
      <w:r w:rsidR="001D3555">
        <w:rPr>
          <w:rFonts w:eastAsiaTheme="minorEastAsia"/>
          <w:color w:val="000000" w:themeColor="text1"/>
          <w:sz w:val="22"/>
          <w:szCs w:val="22"/>
        </w:rPr>
        <w:t xml:space="preserve"> </w:t>
      </w:r>
      <w:r w:rsidR="00A123A8">
        <w:rPr>
          <w:rFonts w:eastAsiaTheme="minorEastAsia"/>
          <w:color w:val="000000" w:themeColor="text1"/>
          <w:sz w:val="22"/>
          <w:szCs w:val="22"/>
        </w:rPr>
        <w:t>F</w:t>
      </w:r>
      <w:r w:rsidRPr="2797893B">
        <w:rPr>
          <w:rFonts w:eastAsiaTheme="minorEastAsia"/>
          <w:color w:val="000000" w:themeColor="text1"/>
          <w:sz w:val="22"/>
          <w:szCs w:val="22"/>
        </w:rPr>
        <w:t>IQ entrée en vigueur le 15</w:t>
      </w:r>
      <w:r w:rsidR="004459F5">
        <w:rPr>
          <w:rFonts w:eastAsiaTheme="minorEastAsia"/>
          <w:color w:val="000000" w:themeColor="text1"/>
          <w:sz w:val="22"/>
          <w:szCs w:val="22"/>
        </w:rPr>
        <w:t> </w:t>
      </w:r>
      <w:r w:rsidRPr="2797893B">
        <w:rPr>
          <w:rFonts w:eastAsiaTheme="minorEastAsia"/>
          <w:color w:val="000000" w:themeColor="text1"/>
          <w:sz w:val="22"/>
          <w:szCs w:val="22"/>
        </w:rPr>
        <w:t>décembre</w:t>
      </w:r>
      <w:r w:rsidR="004459F5">
        <w:rPr>
          <w:rFonts w:eastAsiaTheme="minorEastAsia"/>
          <w:color w:val="000000" w:themeColor="text1"/>
          <w:sz w:val="22"/>
          <w:szCs w:val="22"/>
        </w:rPr>
        <w:t> </w:t>
      </w:r>
      <w:r w:rsidRPr="2797893B">
        <w:rPr>
          <w:rFonts w:eastAsiaTheme="minorEastAsia"/>
          <w:color w:val="000000" w:themeColor="text1"/>
          <w:sz w:val="22"/>
          <w:szCs w:val="22"/>
        </w:rPr>
        <w:t>2024. </w:t>
      </w:r>
    </w:p>
    <w:p w14:paraId="04332632" w14:textId="21552749" w:rsidR="008E5517" w:rsidRDefault="61C2CD96" w:rsidP="2797893B">
      <w:pPr>
        <w:jc w:val="both"/>
        <w:rPr>
          <w:rFonts w:eastAsiaTheme="minorEastAsia"/>
          <w:color w:val="000000" w:themeColor="text1"/>
          <w:sz w:val="22"/>
          <w:szCs w:val="22"/>
        </w:rPr>
      </w:pPr>
      <w:r w:rsidRPr="2797893B">
        <w:rPr>
          <w:rFonts w:eastAsiaTheme="minorEastAsia"/>
          <w:color w:val="000000" w:themeColor="text1"/>
          <w:sz w:val="22"/>
          <w:szCs w:val="22"/>
        </w:rPr>
        <w:t>La reconnaissance de l’ancienneté devait être appliquée selon un échéancier connu de tous, dont les délais ont été ignorés par votre administration.  Votre incapacité à bien évaluer l’ampleur du travail nécessaire pour déployer le PURA ne serait être une excuse valable pour bafouer votre engagement et constitue une négligence administrative majeure.  </w:t>
      </w:r>
    </w:p>
    <w:p w14:paraId="13C97434" w14:textId="18F10FB1" w:rsidR="008E5517" w:rsidRDefault="61C2CD96" w:rsidP="2797893B">
      <w:pPr>
        <w:jc w:val="both"/>
        <w:rPr>
          <w:rFonts w:eastAsiaTheme="minorEastAsia"/>
          <w:color w:val="000000" w:themeColor="text1"/>
          <w:sz w:val="22"/>
          <w:szCs w:val="22"/>
        </w:rPr>
      </w:pPr>
      <w:r w:rsidRPr="2797893B">
        <w:rPr>
          <w:rFonts w:eastAsiaTheme="minorEastAsia"/>
          <w:color w:val="000000" w:themeColor="text1"/>
          <w:sz w:val="22"/>
          <w:szCs w:val="22"/>
        </w:rPr>
        <w:t>La situation est d’autant plus ironique que le PURA est une initiative du ministre Christian Dubé, censée reconnaître l’ancienneté, notamment pour les professionnelles en soins issues des agences. Pendant la négociation, les syndicats étaient pointés du doigt comme obstacle à l’intégration du personnel d’agence. Et pourtant, ce sont eux qui ont collaboré et permis l’adoption du programme tandis que c’est le réseau lui-même qui échoue à le mettre en œuvre. Ce manquement n’est pas banal : il porte atteinte à mes droits professionnels, à ma reconnaissance et à mes conditions d’exercice. </w:t>
      </w:r>
    </w:p>
    <w:p w14:paraId="58BFB6CF" w14:textId="189CBE0A" w:rsidR="008E5517" w:rsidRDefault="61C2CD96" w:rsidP="2797893B">
      <w:pPr>
        <w:jc w:val="both"/>
        <w:rPr>
          <w:rFonts w:eastAsiaTheme="minorEastAsia"/>
          <w:color w:val="000000" w:themeColor="text1"/>
          <w:sz w:val="22"/>
          <w:szCs w:val="22"/>
        </w:rPr>
      </w:pPr>
      <w:r w:rsidRPr="2797893B">
        <w:rPr>
          <w:rFonts w:eastAsiaTheme="minorEastAsia"/>
          <w:color w:val="000000" w:themeColor="text1"/>
          <w:sz w:val="22"/>
          <w:szCs w:val="22"/>
        </w:rPr>
        <w:t xml:space="preserve">Mon indignation est d’autant plus grande que ce n’est pas la première fois qu’un tel comportement survient. Lors de la précédente convention, des retards d’application de la convention collective similaires ont pénalisé des milliers de professionnelles en soins pendant plus de deux ans. Rien ne peut justifier qu’en 2025, les mêmes erreurs soient répétées.  </w:t>
      </w:r>
    </w:p>
    <w:p w14:paraId="0CA44918" w14:textId="04589C2D" w:rsidR="008E5517" w:rsidRDefault="61C2CD96" w:rsidP="2797893B">
      <w:pPr>
        <w:jc w:val="both"/>
        <w:rPr>
          <w:rFonts w:eastAsiaTheme="minorEastAsia"/>
          <w:color w:val="000000" w:themeColor="text1"/>
          <w:sz w:val="22"/>
          <w:szCs w:val="22"/>
        </w:rPr>
      </w:pPr>
      <w:r w:rsidRPr="2797893B">
        <w:rPr>
          <w:rFonts w:eastAsiaTheme="minorEastAsia"/>
          <w:color w:val="000000" w:themeColor="text1"/>
          <w:sz w:val="22"/>
          <w:szCs w:val="22"/>
        </w:rPr>
        <w:t xml:space="preserve">Je vous rappelle que les dispositions de la convention collective ont valeur légale et doivent être respectées pleinement et sans délai. Il ne s’agit pas ici d’un vœu pieux, mais d’un engagement contractuel formel, auquel votre établissement est tenu.  </w:t>
      </w:r>
    </w:p>
    <w:p w14:paraId="160290B4" w14:textId="566C17E7" w:rsidR="008E5517" w:rsidRDefault="61C2CD96" w:rsidP="2797893B">
      <w:pPr>
        <w:jc w:val="both"/>
        <w:rPr>
          <w:rFonts w:eastAsiaTheme="minorEastAsia"/>
          <w:color w:val="000000" w:themeColor="text1"/>
          <w:sz w:val="22"/>
          <w:szCs w:val="22"/>
        </w:rPr>
      </w:pPr>
      <w:r w:rsidRPr="2797893B">
        <w:rPr>
          <w:rFonts w:eastAsiaTheme="minorEastAsia"/>
          <w:color w:val="000000" w:themeColor="text1"/>
          <w:sz w:val="22"/>
          <w:szCs w:val="22"/>
        </w:rPr>
        <w:t>Il en va non seulement du respect des droits des professionnelles en soins, mais aussi de la crédibilité de votre établissement à traiter avec sérieux et rigueur les obligations qui lui incombent. </w:t>
      </w:r>
    </w:p>
    <w:p w14:paraId="73DCEC73" w14:textId="0ED616D0" w:rsidR="008E5517" w:rsidRDefault="61C2CD96" w:rsidP="00487D08">
      <w:pPr>
        <w:rPr>
          <w:rFonts w:eastAsiaTheme="minorEastAsia"/>
          <w:color w:val="000000" w:themeColor="text1"/>
          <w:sz w:val="22"/>
          <w:szCs w:val="22"/>
        </w:rPr>
      </w:pPr>
      <w:r w:rsidRPr="2797893B">
        <w:rPr>
          <w:rFonts w:eastAsiaTheme="minorEastAsia"/>
          <w:color w:val="000000" w:themeColor="text1"/>
          <w:sz w:val="22"/>
          <w:szCs w:val="22"/>
        </w:rPr>
        <w:t> Dans l’attente de votre réponse, </w:t>
      </w:r>
      <w:r w:rsidR="00CB26E3">
        <w:rPr>
          <w:rFonts w:eastAsiaTheme="minorEastAsia"/>
          <w:color w:val="000000" w:themeColor="text1"/>
          <w:sz w:val="22"/>
          <w:szCs w:val="22"/>
        </w:rPr>
        <w:t>r</w:t>
      </w:r>
      <w:r w:rsidRPr="2797893B">
        <w:rPr>
          <w:rFonts w:eastAsiaTheme="minorEastAsia"/>
          <w:color w:val="000000" w:themeColor="text1"/>
          <w:sz w:val="22"/>
          <w:szCs w:val="22"/>
        </w:rPr>
        <w:t>ecevez mes salutations. </w:t>
      </w:r>
    </w:p>
    <w:p w14:paraId="3012794F" w14:textId="76DE861D" w:rsidR="008E5517" w:rsidRDefault="61C2CD96" w:rsidP="2797893B">
      <w:pPr>
        <w:rPr>
          <w:rFonts w:eastAsiaTheme="minorEastAsia"/>
          <w:color w:val="000000" w:themeColor="text1"/>
          <w:sz w:val="22"/>
          <w:szCs w:val="22"/>
        </w:rPr>
      </w:pPr>
      <w:r w:rsidRPr="2797893B">
        <w:rPr>
          <w:rFonts w:eastAsiaTheme="minorEastAsia"/>
          <w:color w:val="000000" w:themeColor="text1"/>
          <w:sz w:val="22"/>
          <w:szCs w:val="22"/>
        </w:rPr>
        <w:t> </w:t>
      </w:r>
    </w:p>
    <w:p w14:paraId="002AD3A1" w14:textId="77D4AC2F" w:rsidR="008E5517" w:rsidRDefault="61C2CD96" w:rsidP="2797893B">
      <w:pPr>
        <w:rPr>
          <w:rFonts w:eastAsiaTheme="minorEastAsia"/>
          <w:color w:val="000000" w:themeColor="text1"/>
          <w:sz w:val="22"/>
          <w:szCs w:val="22"/>
        </w:rPr>
      </w:pPr>
      <w:r w:rsidRPr="2797893B">
        <w:rPr>
          <w:rFonts w:eastAsiaTheme="minorEastAsia"/>
          <w:color w:val="000000" w:themeColor="text1"/>
          <w:sz w:val="22"/>
          <w:szCs w:val="22"/>
          <w:highlight w:val="magenta"/>
        </w:rPr>
        <w:t>[Nom] </w:t>
      </w:r>
      <w:r w:rsidR="008E5517">
        <w:br/>
      </w:r>
      <w:r w:rsidRPr="2797893B">
        <w:rPr>
          <w:rFonts w:eastAsiaTheme="minorEastAsia"/>
          <w:color w:val="000000" w:themeColor="text1"/>
          <w:sz w:val="22"/>
          <w:szCs w:val="22"/>
        </w:rPr>
        <w:t>Professionnelle en soins – Membre de la FIQ </w:t>
      </w:r>
      <w:r w:rsidR="008E5517">
        <w:br/>
      </w:r>
      <w:r w:rsidR="00593122">
        <w:rPr>
          <w:rFonts w:eastAsiaTheme="minorEastAsia"/>
          <w:color w:val="000000" w:themeColor="text1"/>
          <w:sz w:val="22"/>
          <w:szCs w:val="22"/>
        </w:rPr>
        <w:t>CISSS des Laurentides</w:t>
      </w:r>
    </w:p>
    <w:p w14:paraId="672A6659" w14:textId="2461DD4B" w:rsidR="008E5517" w:rsidRDefault="61C2CD96" w:rsidP="2797893B">
      <w:pPr>
        <w:rPr>
          <w:rFonts w:eastAsiaTheme="minorEastAsia"/>
          <w:color w:val="000000" w:themeColor="text1"/>
          <w:sz w:val="22"/>
          <w:szCs w:val="22"/>
          <w:highlight w:val="magenta"/>
        </w:rPr>
      </w:pPr>
      <w:r w:rsidRPr="2797893B">
        <w:rPr>
          <w:rFonts w:eastAsiaTheme="minorEastAsia"/>
          <w:color w:val="000000" w:themeColor="text1"/>
          <w:sz w:val="22"/>
          <w:szCs w:val="22"/>
          <w:highlight w:val="magenta"/>
        </w:rPr>
        <w:t>[Adresse courriel de la membre</w:t>
      </w:r>
    </w:p>
    <w:sectPr w:rsidR="008E55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72B7" w14:textId="77777777" w:rsidR="00EA5AC5" w:rsidRDefault="00EA5AC5" w:rsidP="008E5517">
      <w:pPr>
        <w:spacing w:after="0" w:line="240" w:lineRule="auto"/>
      </w:pPr>
      <w:r>
        <w:separator/>
      </w:r>
    </w:p>
  </w:endnote>
  <w:endnote w:type="continuationSeparator" w:id="0">
    <w:p w14:paraId="74557B7A" w14:textId="77777777" w:rsidR="00EA5AC5" w:rsidRDefault="00EA5AC5"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C4B9" w14:textId="77777777" w:rsidR="00EA5AC5" w:rsidRDefault="00EA5AC5" w:rsidP="008E5517">
      <w:pPr>
        <w:spacing w:after="0" w:line="240" w:lineRule="auto"/>
      </w:pPr>
      <w:r>
        <w:separator/>
      </w:r>
    </w:p>
  </w:footnote>
  <w:footnote w:type="continuationSeparator" w:id="0">
    <w:p w14:paraId="062B0B1F" w14:textId="77777777" w:rsidR="00EA5AC5" w:rsidRDefault="00EA5AC5" w:rsidP="008E5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3519D"/>
    <w:rsid w:val="001A60B9"/>
    <w:rsid w:val="001D3555"/>
    <w:rsid w:val="004301A1"/>
    <w:rsid w:val="00433291"/>
    <w:rsid w:val="004459F5"/>
    <w:rsid w:val="00487D08"/>
    <w:rsid w:val="00593122"/>
    <w:rsid w:val="00594B86"/>
    <w:rsid w:val="005F5B30"/>
    <w:rsid w:val="006358E8"/>
    <w:rsid w:val="00685D29"/>
    <w:rsid w:val="006E5D9D"/>
    <w:rsid w:val="0075665E"/>
    <w:rsid w:val="008E5517"/>
    <w:rsid w:val="009C5B78"/>
    <w:rsid w:val="00A123A8"/>
    <w:rsid w:val="00B910CE"/>
    <w:rsid w:val="00CB26E3"/>
    <w:rsid w:val="00CE6DF9"/>
    <w:rsid w:val="00D3592A"/>
    <w:rsid w:val="00D45857"/>
    <w:rsid w:val="00EA5AC5"/>
    <w:rsid w:val="00EF3097"/>
    <w:rsid w:val="00F10049"/>
    <w:rsid w:val="00FD2BCB"/>
    <w:rsid w:val="0F772143"/>
    <w:rsid w:val="10FB2AB2"/>
    <w:rsid w:val="2797893B"/>
    <w:rsid w:val="61C2CD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2143"/>
  <w15:chartTrackingRefBased/>
  <w15:docId w15:val="{80381C45-B887-44C8-86F0-E0DE4772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customStyle="1" w:styleId="En-tteCar">
    <w:name w:val="En-tête Car"/>
    <w:basedOn w:val="Policepardfaut"/>
    <w:link w:val="En-tte"/>
    <w:uiPriority w:val="99"/>
    <w:rsid w:val="008E5517"/>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0BC9372EC1E4DB706E991AC8AC6A4" ma:contentTypeVersion="4" ma:contentTypeDescription="Crée un document." ma:contentTypeScope="" ma:versionID="2d647558526c24915f3a5cd5ae0cba08">
  <xsd:schema xmlns:xsd="http://www.w3.org/2001/XMLSchema" xmlns:xs="http://www.w3.org/2001/XMLSchema" xmlns:p="http://schemas.microsoft.com/office/2006/metadata/properties" xmlns:ns2="e1a04aee-d000-4645-980e-dd3a62dfc73c" targetNamespace="http://schemas.microsoft.com/office/2006/metadata/properties" ma:root="true" ma:fieldsID="dad7c6d8ce4d9eec38799a3bc8905611" ns2:_="">
    <xsd:import namespace="e1a04aee-d000-4645-980e-dd3a62dfc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04aee-d000-4645-980e-dd3a62dfc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1C039-54D3-4EBA-B4E9-6F75C2D261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0A7BC-08F4-412B-8AE1-8AD01ACC0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04aee-d000-4645-980e-dd3a62dfc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CC78A-9E15-4194-A028-E4A2A331F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Rousseau</dc:creator>
  <cp:keywords/>
  <dc:description/>
  <cp:lastModifiedBy>Amélie Goyer</cp:lastModifiedBy>
  <cp:revision>4</cp:revision>
  <dcterms:created xsi:type="dcterms:W3CDTF">2025-05-21T13:18:00Z</dcterms:created>
  <dcterms:modified xsi:type="dcterms:W3CDTF">2025-05-21T13:19:00Z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0x0101006D00BC9372EC1E4DB706E991AC8AC6A4</vt:lpwstr>
  </property>
  <property fmtid="{D5CDD505-2E9C-101B-9397-08002B2CF9AE}" pid="3" name="MSIP_Label_59a40497-9c56-47f7-9923-99b574d64d54_Enabled">
    <vt:lpwstr>true</vt:lpwstr>
  </property>
  <property fmtid="{D5CDD505-2E9C-101B-9397-08002B2CF9AE}" pid="4" name="MSIP_Label_59a40497-9c56-47f7-9923-99b574d64d54_SetDate">
    <vt:lpwstr>2025-05-07T18:14:44Z</vt:lpwstr>
  </property>
  <property fmtid="{D5CDD505-2E9C-101B-9397-08002B2CF9AE}" pid="5" name="MSIP_Label_59a40497-9c56-47f7-9923-99b574d64d54_Method">
    <vt:lpwstr>Standard</vt:lpwstr>
  </property>
  <property fmtid="{D5CDD505-2E9C-101B-9397-08002B2CF9AE}" pid="6" name="MSIP_Label_59a40497-9c56-47f7-9923-99b574d64d54_Name">
    <vt:lpwstr>defa4170-0d19-0005-0004-bc88714345d2</vt:lpwstr>
  </property>
  <property fmtid="{D5CDD505-2E9C-101B-9397-08002B2CF9AE}" pid="7" name="MSIP_Label_59a40497-9c56-47f7-9923-99b574d64d54_SiteId">
    <vt:lpwstr>6cbafdf6-bccc-44b9-87c4-de46b36a2dc2</vt:lpwstr>
  </property>
  <property fmtid="{D5CDD505-2E9C-101B-9397-08002B2CF9AE}" pid="8" name="MSIP_Label_59a40497-9c56-47f7-9923-99b574d64d54_ActionId">
    <vt:lpwstr>a0abfbc5-1144-4d81-9c75-062441a43593</vt:lpwstr>
  </property>
  <property fmtid="{D5CDD505-2E9C-101B-9397-08002B2CF9AE}" pid="9" name="MSIP_Label_59a40497-9c56-47f7-9923-99b574d64d54_ContentBits">
    <vt:lpwstr>0</vt:lpwstr>
  </property>
  <property fmtid="{D5CDD505-2E9C-101B-9397-08002B2CF9AE}" pid="10" name="MSIP_Label_59a40497-9c56-47f7-9923-99b574d64d54_Tag">
    <vt:lpwstr>10, 3, 0, 1</vt:lpwstr>
  </property>
</Properties>
</file>